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66" w:rsidRDefault="00960166">
      <w:pPr>
        <w:pStyle w:val="ConsPlusNormal0"/>
        <w:jc w:val="both"/>
        <w:outlineLvl w:val="0"/>
      </w:pPr>
    </w:p>
    <w:p w:rsidR="00960166" w:rsidRDefault="00A03895">
      <w:pPr>
        <w:pStyle w:val="ConsPlusNormal0"/>
        <w:outlineLvl w:val="0"/>
      </w:pPr>
      <w:r>
        <w:t>Зарегистрировано в Минюсте России 3 июня 2022 г. N 68735</w:t>
      </w:r>
    </w:p>
    <w:p w:rsidR="00960166" w:rsidRDefault="0096016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166" w:rsidRDefault="00960166">
      <w:pPr>
        <w:pStyle w:val="ConsPlusNormal0"/>
        <w:jc w:val="both"/>
      </w:pPr>
    </w:p>
    <w:p w:rsidR="00960166" w:rsidRDefault="00A03895">
      <w:pPr>
        <w:pStyle w:val="ConsPlusTitle0"/>
        <w:jc w:val="center"/>
      </w:pPr>
      <w:r>
        <w:t>МИНИСТЕРСТВО ЗДРАВООХРАНЕНИЯ РОССИЙСКОЙ ФЕДЕРАЦИИ</w:t>
      </w:r>
    </w:p>
    <w:p w:rsidR="00960166" w:rsidRDefault="00960166">
      <w:pPr>
        <w:pStyle w:val="ConsPlusTitle0"/>
        <w:jc w:val="both"/>
      </w:pPr>
    </w:p>
    <w:p w:rsidR="00960166" w:rsidRDefault="00A03895">
      <w:pPr>
        <w:pStyle w:val="ConsPlusTitle0"/>
        <w:jc w:val="center"/>
      </w:pPr>
      <w:r>
        <w:t>ПРИКАЗ</w:t>
      </w:r>
    </w:p>
    <w:p w:rsidR="00960166" w:rsidRDefault="00A03895">
      <w:pPr>
        <w:pStyle w:val="ConsPlusTitle0"/>
        <w:jc w:val="center"/>
      </w:pPr>
      <w:r>
        <w:t>от 26 апреля 2022 г. N 289н</w:t>
      </w:r>
    </w:p>
    <w:p w:rsidR="00960166" w:rsidRDefault="00960166">
      <w:pPr>
        <w:pStyle w:val="ConsPlusTitle0"/>
        <w:jc w:val="both"/>
      </w:pPr>
    </w:p>
    <w:p w:rsidR="00960166" w:rsidRDefault="00A03895">
      <w:pPr>
        <w:pStyle w:val="ConsPlusTitle0"/>
        <w:jc w:val="center"/>
      </w:pPr>
      <w:r>
        <w:t>ОБ УТВЕРЖДЕНИИ СТАНДАРТА</w:t>
      </w:r>
    </w:p>
    <w:p w:rsidR="00960166" w:rsidRDefault="00A03895">
      <w:pPr>
        <w:pStyle w:val="ConsPlusTitle0"/>
        <w:jc w:val="center"/>
      </w:pPr>
      <w:r>
        <w:t>МЕДИЦИНСКОЙ ПОМОЩИ ВЗРОСЛЫМ ПРИ АТОПИЧЕСКОМ ДЕРМАТИТЕ</w:t>
      </w:r>
    </w:p>
    <w:p w:rsidR="00960166" w:rsidRDefault="00A03895">
      <w:pPr>
        <w:pStyle w:val="ConsPlusTitle0"/>
        <w:jc w:val="center"/>
      </w:pPr>
      <w:r>
        <w:t>(ДИАГНОСТИКА И ЛЕЧЕНИЕ)</w:t>
      </w:r>
    </w:p>
    <w:p w:rsidR="00960166" w:rsidRDefault="00960166">
      <w:pPr>
        <w:pStyle w:val="ConsPlusNormal0"/>
        <w:jc w:val="both"/>
      </w:pPr>
    </w:p>
    <w:p w:rsidR="00960166" w:rsidRDefault="00A03895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</w:t>
      </w:r>
      <w:r>
        <w:t xml:space="preserve">ние законодательства Российской Федерации, 2011, N 48, ст. 6724; 2022, N 1, ст. 51) и </w:t>
      </w:r>
      <w:hyperlink r:id="rId7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>
          <w:rPr>
            <w:color w:val="0000FF"/>
          </w:rPr>
          <w:t>подпунктом 5.2.18 пункта 5</w:t>
        </w:r>
      </w:hyperlink>
      <w:r>
        <w:t xml:space="preserve"> Положения о М</w:t>
      </w:r>
      <w:r>
        <w:t>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960166" w:rsidRDefault="00A03895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СТАНДАРТ">
        <w:r>
          <w:rPr>
            <w:color w:val="0000FF"/>
          </w:rPr>
          <w:t>стандарт</w:t>
        </w:r>
      </w:hyperlink>
      <w:r>
        <w:t xml:space="preserve"> медицинской помощи взрослым при атопическом дерматите (диагностика и лечение) согласно приложению.</w:t>
      </w:r>
    </w:p>
    <w:p w:rsidR="00960166" w:rsidRDefault="00A03895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960166" w:rsidRDefault="00A03895">
      <w:pPr>
        <w:pStyle w:val="ConsPlusNormal0"/>
        <w:spacing w:before="200"/>
        <w:ind w:firstLine="540"/>
        <w:jc w:val="both"/>
      </w:pPr>
      <w:hyperlink r:id="rId8" w:tooltip="Приказ Минздрава России от 09.11.2012 N 770н &quot;Об утверждении стандарта первичной медико-санитарной помощи при атопическом дерматите&quot; (Зарегистрировано в Минюсте России 21.01.2013 N 26629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ноября 2012 г. N 770н "Об утверждении стандарта первичной медико-санитарной помощи при атопическом дерматите" (зарегистрирован Министерством юстиции Росс</w:t>
      </w:r>
      <w:r>
        <w:t>ийской Федерации 21 января 2013 г., регистрационный N 26629);</w:t>
      </w:r>
    </w:p>
    <w:p w:rsidR="00960166" w:rsidRDefault="00A03895">
      <w:pPr>
        <w:pStyle w:val="ConsPlusNormal0"/>
        <w:spacing w:before="200"/>
        <w:ind w:firstLine="540"/>
        <w:jc w:val="both"/>
      </w:pPr>
      <w:hyperlink r:id="rId9" w:tooltip="Приказ Минздрава России от 28.12.2012 N 1587н &quot;Об утверждении стандарта специализированной медицинской помощи при средне-тяжелых формах атопического дерматита (в дневном стационаре)&quot; (Зарегистрировано в Минюсте России 05.03.2013 N 27486) ------------ Утратил с">
        <w:r>
          <w:rPr>
            <w:color w:val="0000FF"/>
          </w:rPr>
          <w:t>приказ</w:t>
        </w:r>
      </w:hyperlink>
      <w:r>
        <w:t xml:space="preserve"> Министерства здравоохранения Ро</w:t>
      </w:r>
      <w:r>
        <w:t>ссийской Федерации от 28 декабря 2012 г. N 1587н "Об утверждении стандарта специализированной медицинской помощи при средне-тяжелых формах атопического дерматита (в дневном стационаре)" (зарегистрирован Министерством юстиции Российской Федерации 5 марта 20</w:t>
      </w:r>
      <w:r>
        <w:t>13 г., регистрационный N 27486);</w:t>
      </w:r>
    </w:p>
    <w:p w:rsidR="00960166" w:rsidRDefault="00A03895">
      <w:pPr>
        <w:pStyle w:val="ConsPlusNormal0"/>
        <w:spacing w:before="200"/>
        <w:ind w:firstLine="540"/>
        <w:jc w:val="both"/>
      </w:pPr>
      <w:hyperlink r:id="rId10" w:tooltip="Приказ Минздрава России от 28.12.2012 N 1588н &quot;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&quot; (Зарегистрировано в Минюсте России 13.03.2013 N 27647) ----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дека</w:t>
      </w:r>
      <w:r>
        <w:t>бря 2012 г. N 1588н 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терапии" (зарегистрирован Министерством юстиции Российской Федерации 13 марта 2013 г., рег</w:t>
      </w:r>
      <w:r>
        <w:t>истрационный N 27647);</w:t>
      </w:r>
    </w:p>
    <w:p w:rsidR="00960166" w:rsidRDefault="00A03895">
      <w:pPr>
        <w:pStyle w:val="ConsPlusNormal0"/>
        <w:spacing w:before="200"/>
        <w:ind w:firstLine="540"/>
        <w:jc w:val="both"/>
      </w:pPr>
      <w:hyperlink r:id="rId11" w:tooltip="Приказ Минздрава России от 28.12.2012 N 1589н &quot;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&quot; (Зарегистрировано в Минюсте России 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декабря 2012 г</w:t>
      </w:r>
      <w:r>
        <w:t>. N 1589н 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стационаре)" (зарегистрирован Министерством юстиции Российской Федерации 26 февра</w:t>
      </w:r>
      <w:r>
        <w:t>ля 2013 г., регистрационный N 27334);</w:t>
      </w:r>
    </w:p>
    <w:p w:rsidR="00960166" w:rsidRDefault="00A03895">
      <w:pPr>
        <w:pStyle w:val="ConsPlusNormal0"/>
        <w:spacing w:before="200"/>
        <w:ind w:firstLine="540"/>
        <w:jc w:val="both"/>
      </w:pPr>
      <w:hyperlink r:id="rId12" w:tooltip="Приказ Минздрава России от 28.12.2012 N 1613н &quot;Об утверждении стандарта специализированной медицинской помощи при тяжелых формах атопического дерматита&quot; (Зарегистрировано в Минюсте России 11.03.2013 N 27604) ------------ Утратил силу или отменен {КонсультантПл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декабря 2012 г. N 1613н "Об утверждении стандарта специализированной медицинской помощи при тяжелых формах атопического дерматита" (зарегистрирован Министерством юстиции Российской Федерации 11 марта</w:t>
      </w:r>
      <w:r>
        <w:t xml:space="preserve"> 2013 г., регистрационный N 27604).</w:t>
      </w:r>
    </w:p>
    <w:p w:rsidR="00960166" w:rsidRDefault="00960166">
      <w:pPr>
        <w:pStyle w:val="ConsPlusNormal0"/>
        <w:jc w:val="both"/>
      </w:pPr>
    </w:p>
    <w:p w:rsidR="00960166" w:rsidRDefault="00A03895">
      <w:pPr>
        <w:pStyle w:val="ConsPlusNormal0"/>
        <w:jc w:val="right"/>
      </w:pPr>
      <w:r>
        <w:t>Министр</w:t>
      </w:r>
    </w:p>
    <w:p w:rsidR="00960166" w:rsidRDefault="00A03895">
      <w:pPr>
        <w:pStyle w:val="ConsPlusNormal0"/>
        <w:jc w:val="right"/>
      </w:pPr>
      <w:r>
        <w:t>М.А.МУРАШКО</w:t>
      </w:r>
    </w:p>
    <w:p w:rsidR="00960166" w:rsidRDefault="00960166">
      <w:pPr>
        <w:pStyle w:val="ConsPlusNormal0"/>
        <w:jc w:val="both"/>
      </w:pPr>
    </w:p>
    <w:p w:rsidR="00960166" w:rsidRDefault="00960166">
      <w:pPr>
        <w:pStyle w:val="ConsPlusNormal0"/>
        <w:jc w:val="both"/>
      </w:pPr>
    </w:p>
    <w:p w:rsidR="00960166" w:rsidRDefault="00960166">
      <w:pPr>
        <w:pStyle w:val="ConsPlusNormal0"/>
        <w:jc w:val="both"/>
      </w:pPr>
    </w:p>
    <w:p w:rsidR="00960166" w:rsidRDefault="00960166">
      <w:pPr>
        <w:pStyle w:val="ConsPlusNormal0"/>
        <w:jc w:val="both"/>
      </w:pPr>
    </w:p>
    <w:p w:rsidR="00960166" w:rsidRDefault="00960166">
      <w:pPr>
        <w:pStyle w:val="ConsPlusNormal0"/>
        <w:jc w:val="both"/>
      </w:pPr>
    </w:p>
    <w:p w:rsidR="00960166" w:rsidRDefault="00A03895">
      <w:pPr>
        <w:pStyle w:val="ConsPlusNormal0"/>
        <w:jc w:val="right"/>
        <w:outlineLvl w:val="0"/>
      </w:pPr>
      <w:r>
        <w:lastRenderedPageBreak/>
        <w:t>Приложение</w:t>
      </w:r>
    </w:p>
    <w:p w:rsidR="00960166" w:rsidRDefault="00A03895">
      <w:pPr>
        <w:pStyle w:val="ConsPlusNormal0"/>
        <w:jc w:val="right"/>
      </w:pPr>
      <w:r>
        <w:t>к приказу Министерства здравоохранения</w:t>
      </w:r>
    </w:p>
    <w:p w:rsidR="00960166" w:rsidRDefault="00A03895">
      <w:pPr>
        <w:pStyle w:val="ConsPlusNormal0"/>
        <w:jc w:val="right"/>
      </w:pPr>
      <w:r>
        <w:t>Российской Федерации</w:t>
      </w:r>
    </w:p>
    <w:p w:rsidR="00960166" w:rsidRDefault="00A03895">
      <w:pPr>
        <w:pStyle w:val="ConsPlusNormal0"/>
        <w:jc w:val="right"/>
      </w:pPr>
      <w:r>
        <w:t>от 26 апреля 2022 г. N 289н</w:t>
      </w:r>
    </w:p>
    <w:p w:rsidR="00960166" w:rsidRDefault="00960166">
      <w:pPr>
        <w:pStyle w:val="ConsPlusNormal0"/>
        <w:jc w:val="both"/>
      </w:pPr>
    </w:p>
    <w:p w:rsidR="00960166" w:rsidRDefault="00A03895">
      <w:pPr>
        <w:pStyle w:val="ConsPlusTitle0"/>
        <w:jc w:val="center"/>
      </w:pPr>
      <w:bookmarkStart w:id="0" w:name="P34"/>
      <w:bookmarkEnd w:id="0"/>
      <w:r>
        <w:t>СТАНДАРТ</w:t>
      </w:r>
    </w:p>
    <w:p w:rsidR="00960166" w:rsidRDefault="00A03895">
      <w:pPr>
        <w:pStyle w:val="ConsPlusTitle0"/>
        <w:jc w:val="center"/>
      </w:pPr>
      <w:r>
        <w:t>МЕДИЦИНСКОЙ ПОМОЩИ ВЗРОСЛЫМ ПРИ АТОПИЧЕСКОМ ДЕРМАТИТЕ</w:t>
      </w:r>
    </w:p>
    <w:p w:rsidR="00960166" w:rsidRDefault="00A03895">
      <w:pPr>
        <w:pStyle w:val="ConsPlusTitle0"/>
        <w:jc w:val="center"/>
      </w:pPr>
      <w:r>
        <w:t>(ДИАГНОСТИКА И ЛЕЧЕНИЕ)</w:t>
      </w:r>
    </w:p>
    <w:p w:rsidR="00960166" w:rsidRDefault="00960166">
      <w:pPr>
        <w:pStyle w:val="ConsPlusNormal0"/>
        <w:jc w:val="both"/>
      </w:pPr>
    </w:p>
    <w:p w:rsidR="00960166" w:rsidRDefault="00A03895">
      <w:pPr>
        <w:pStyle w:val="ConsPlusNormal0"/>
        <w:jc w:val="both"/>
      </w:pPr>
      <w:r>
        <w:t>Возрастная категория пациента: взрослые</w:t>
      </w:r>
    </w:p>
    <w:p w:rsidR="00960166" w:rsidRDefault="00A03895">
      <w:pPr>
        <w:pStyle w:val="ConsPlusNormal0"/>
        <w:spacing w:before="200"/>
        <w:jc w:val="both"/>
      </w:pPr>
      <w:r>
        <w:t>Пол пациента: любой</w:t>
      </w:r>
    </w:p>
    <w:p w:rsidR="00960166" w:rsidRDefault="00A03895">
      <w:pPr>
        <w:pStyle w:val="ConsPlusNormal0"/>
        <w:spacing w:before="20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960166" w:rsidRDefault="00A03895">
      <w:pPr>
        <w:pStyle w:val="ConsPlusNormal0"/>
        <w:spacing w:before="200"/>
        <w:jc w:val="both"/>
      </w:pPr>
      <w:r>
        <w:t>Условия оказания медицинской помощи: амбулаторно, в дневном стационаре, стационарно</w:t>
      </w:r>
    </w:p>
    <w:p w:rsidR="00960166" w:rsidRDefault="00A03895">
      <w:pPr>
        <w:pStyle w:val="ConsPlusNormal0"/>
        <w:spacing w:before="200"/>
        <w:jc w:val="both"/>
      </w:pPr>
      <w:r>
        <w:t>Форма оказания</w:t>
      </w:r>
      <w:r>
        <w:t xml:space="preserve"> медицинской помощи: плановая</w:t>
      </w:r>
    </w:p>
    <w:p w:rsidR="00960166" w:rsidRDefault="00A03895">
      <w:pPr>
        <w:pStyle w:val="ConsPlusNormal0"/>
        <w:spacing w:before="200"/>
        <w:jc w:val="both"/>
      </w:pPr>
      <w:r>
        <w:t>Фаза течения заболевания (состояния): вне зависимости от фазы</w:t>
      </w:r>
    </w:p>
    <w:p w:rsidR="00960166" w:rsidRDefault="00A03895">
      <w:pPr>
        <w:pStyle w:val="ConsPlusNormal0"/>
        <w:spacing w:before="200"/>
        <w:jc w:val="both"/>
      </w:pPr>
      <w:r>
        <w:t>Стадия и (или) степень тяжести заболевания (состояния): вне зависимости</w:t>
      </w:r>
    </w:p>
    <w:p w:rsidR="00960166" w:rsidRDefault="00A03895">
      <w:pPr>
        <w:pStyle w:val="ConsPlusNormal0"/>
        <w:spacing w:before="200"/>
        <w:jc w:val="both"/>
      </w:pPr>
      <w:r>
        <w:t>Осложнения: вне зависимости</w:t>
      </w:r>
    </w:p>
    <w:p w:rsidR="00960166" w:rsidRDefault="00A03895">
      <w:pPr>
        <w:pStyle w:val="ConsPlusNormal0"/>
        <w:spacing w:before="200"/>
        <w:jc w:val="both"/>
      </w:pPr>
      <w:r>
        <w:t>Средняя продолжительность лечения законченного случая (количеств</w:t>
      </w:r>
      <w:r>
        <w:t>о дней): 365</w:t>
      </w:r>
    </w:p>
    <w:p w:rsidR="00960166" w:rsidRDefault="00A03895">
      <w:pPr>
        <w:pStyle w:val="ConsPlusNormal0"/>
        <w:spacing w:before="200"/>
        <w:jc w:val="both"/>
      </w:pPr>
      <w:r>
        <w:t xml:space="preserve">Нозологические единицы (код по </w:t>
      </w:r>
      <w:hyperlink r:id="rId13" w:tooltip="Ссылка на КонсультантПлюс">
        <w:r>
          <w:rPr>
            <w:color w:val="0000FF"/>
          </w:rPr>
          <w:t>МКБ X</w:t>
        </w:r>
      </w:hyperlink>
      <w:r>
        <w:t xml:space="preserve"> </w:t>
      </w:r>
      <w:hyperlink w:anchor="P750" w:tooltip="&lt;1&gt; Международная статистическая классификация болезней и проблем, связанных со здоровьем, X пересмотра.">
        <w:r>
          <w:rPr>
            <w:color w:val="0000FF"/>
          </w:rPr>
          <w:t>&lt;1&gt;</w:t>
        </w:r>
      </w:hyperlink>
      <w:r>
        <w:t>):</w:t>
      </w:r>
    </w:p>
    <w:p w:rsidR="00960166" w:rsidRDefault="00A03895">
      <w:pPr>
        <w:pStyle w:val="ConsPlusNormal0"/>
        <w:spacing w:before="200"/>
        <w:jc w:val="both"/>
      </w:pPr>
      <w:r>
        <w:t>L20 Атопический дерматит</w:t>
      </w:r>
    </w:p>
    <w:p w:rsidR="00960166" w:rsidRDefault="00960166">
      <w:pPr>
        <w:pStyle w:val="ConsPlusNormal0"/>
        <w:jc w:val="both"/>
      </w:pPr>
    </w:p>
    <w:p w:rsidR="00960166" w:rsidRDefault="00A03895">
      <w:pPr>
        <w:pStyle w:val="ConsPlusTitle0"/>
        <w:jc w:val="both"/>
        <w:outlineLvl w:val="1"/>
      </w:pPr>
      <w:r>
        <w:t>1. Медицинские услуги для диагностики заболевания, состояния</w:t>
      </w:r>
    </w:p>
    <w:p w:rsidR="00960166" w:rsidRDefault="0096016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252"/>
        <w:gridCol w:w="1474"/>
        <w:gridCol w:w="1474"/>
      </w:tblGrid>
      <w:tr w:rsidR="00960166">
        <w:tc>
          <w:tcPr>
            <w:tcW w:w="9071" w:type="dxa"/>
            <w:gridSpan w:val="4"/>
          </w:tcPr>
          <w:p w:rsidR="00960166" w:rsidRDefault="00A03895">
            <w:pPr>
              <w:pStyle w:val="ConsPlusNormal0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960166">
        <w:tc>
          <w:tcPr>
            <w:tcW w:w="1871" w:type="dxa"/>
          </w:tcPr>
          <w:p w:rsidR="00960166" w:rsidRDefault="00A03895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960166" w:rsidRDefault="00A03895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 xml:space="preserve">Усредненный показатель частоты предоставления </w:t>
            </w:r>
            <w:hyperlink w:anchor="P751" w:tooltip="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B01.002.001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врача-аллерголога-иммунолога первичный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0,8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B01.008.001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врача-дерматовенеролога первичный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0,93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</w:tbl>
    <w:p w:rsidR="00960166" w:rsidRDefault="0096016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252"/>
        <w:gridCol w:w="1474"/>
        <w:gridCol w:w="1474"/>
      </w:tblGrid>
      <w:tr w:rsidR="00960166">
        <w:tc>
          <w:tcPr>
            <w:tcW w:w="9071" w:type="dxa"/>
            <w:gridSpan w:val="4"/>
          </w:tcPr>
          <w:p w:rsidR="00960166" w:rsidRDefault="00A03895">
            <w:pPr>
              <w:pStyle w:val="ConsPlusNormal0"/>
              <w:outlineLvl w:val="2"/>
            </w:pPr>
            <w:r>
              <w:t>1.2. Лабораторные методы исследования</w:t>
            </w:r>
          </w:p>
        </w:tc>
      </w:tr>
      <w:tr w:rsidR="00960166">
        <w:tc>
          <w:tcPr>
            <w:tcW w:w="1871" w:type="dxa"/>
          </w:tcPr>
          <w:p w:rsidR="00960166" w:rsidRDefault="00A03895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960166" w:rsidRDefault="00A03895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A08.01.001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Патолого-анатомическое исследование биопсийного (операционного) материала кожи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0,066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A09.05.054.001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Исследование уровня общего иммуноглобулина E в крови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0,33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A09.05.118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0,2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A12.06.006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Накожные исследования реакции на аллергены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0,13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B03.016.0</w:t>
              </w:r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0,53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Анализ крови биохимический общетерапевтический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0,53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Общий (клинический) анализ мочи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0,53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</w:tbl>
    <w:p w:rsidR="00960166" w:rsidRDefault="0096016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252"/>
        <w:gridCol w:w="1474"/>
        <w:gridCol w:w="1474"/>
      </w:tblGrid>
      <w:tr w:rsidR="00960166">
        <w:tc>
          <w:tcPr>
            <w:tcW w:w="9071" w:type="dxa"/>
            <w:gridSpan w:val="4"/>
          </w:tcPr>
          <w:p w:rsidR="00960166" w:rsidRDefault="00A03895">
            <w:pPr>
              <w:pStyle w:val="ConsPlusNormal0"/>
              <w:outlineLvl w:val="2"/>
            </w:pPr>
            <w:r>
              <w:t>1.3. Инструментальные методы исследования</w:t>
            </w:r>
          </w:p>
        </w:tc>
      </w:tr>
      <w:tr w:rsidR="00960166">
        <w:tc>
          <w:tcPr>
            <w:tcW w:w="1871" w:type="dxa"/>
          </w:tcPr>
          <w:p w:rsidR="00960166" w:rsidRDefault="00A03895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960166" w:rsidRDefault="00A03895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A11.01.001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Биопсия кожи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0,066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</w:tbl>
    <w:p w:rsidR="00960166" w:rsidRDefault="00960166">
      <w:pPr>
        <w:pStyle w:val="ConsPlusNormal0"/>
        <w:jc w:val="both"/>
      </w:pPr>
    </w:p>
    <w:p w:rsidR="00960166" w:rsidRDefault="00A03895">
      <w:pPr>
        <w:pStyle w:val="ConsPlusTitle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960166" w:rsidRDefault="0096016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252"/>
        <w:gridCol w:w="1474"/>
        <w:gridCol w:w="1474"/>
      </w:tblGrid>
      <w:tr w:rsidR="00960166">
        <w:tc>
          <w:tcPr>
            <w:tcW w:w="9071" w:type="dxa"/>
            <w:gridSpan w:val="4"/>
          </w:tcPr>
          <w:p w:rsidR="00960166" w:rsidRDefault="00A03895">
            <w:pPr>
              <w:pStyle w:val="ConsPlusNormal0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960166">
        <w:tc>
          <w:tcPr>
            <w:tcW w:w="1871" w:type="dxa"/>
          </w:tcPr>
          <w:p w:rsidR="00960166" w:rsidRDefault="00A03895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960166" w:rsidRDefault="00A03895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B01.001.001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0,13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B01.001.002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врача-акушера-гинеколога повторный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0,13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B01.002.001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врача-аллерголога-иммунолога первичный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0,16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B01.002.002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врача-аллерголога-иммунолога повторный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0,97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</w:t>
              </w:r>
              <w:r>
                <w:rPr>
                  <w:color w:val="0000FF"/>
                </w:rPr>
                <w:t>2.003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Ежедневный осмотр врачом-аллергологом-</w:t>
            </w:r>
            <w:r>
              <w:lastRenderedPageBreak/>
              <w:t>иммунологом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lastRenderedPageBreak/>
              <w:t>0,065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23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B01.008.001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врача-дерматовенеролога первичный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0,066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B01.008.002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врача-дерматовенеролога повторный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B01.008.005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</w:t>
            </w:r>
            <w:r>
              <w:t>и стационара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0,36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22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0,088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0,088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B01.047.001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 xml:space="preserve"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с медицинской услугой </w:t>
            </w:r>
            <w:hyperlink r:id="rId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B01.026.001</w:t>
              </w:r>
            </w:hyperlink>
            <w:r>
              <w:t xml:space="preserve"> "Прием (осмотр, консультация) врача общей практики (семейного врача) первичный")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0,26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B01.047.002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врача-терапевта повторный (при оказании медицинской помощи в амбулаторных условиях медицинс</w:t>
            </w:r>
            <w:r>
              <w:t xml:space="preserve">кая услуга является взаимозаменяемой с медицинской услугой </w:t>
            </w:r>
            <w:hyperlink r:id="rId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B01.026.002</w:t>
              </w:r>
            </w:hyperlink>
            <w:r>
              <w:t xml:space="preserve"> "Прием (осмотр, консультация) врача общей практики (семейно</w:t>
            </w:r>
            <w:r>
              <w:t>го врача) повторный")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0,26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B01.058.001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врача-эндокринолога первичный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0,13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B01.058.002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Прием (осмотр, консультация) врача-эндокринолога повторный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0,13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</w:tr>
    </w:tbl>
    <w:p w:rsidR="00960166" w:rsidRDefault="0096016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252"/>
        <w:gridCol w:w="1474"/>
        <w:gridCol w:w="1474"/>
      </w:tblGrid>
      <w:tr w:rsidR="00960166">
        <w:tc>
          <w:tcPr>
            <w:tcW w:w="9071" w:type="dxa"/>
            <w:gridSpan w:val="4"/>
          </w:tcPr>
          <w:p w:rsidR="00960166" w:rsidRDefault="00A03895">
            <w:pPr>
              <w:pStyle w:val="ConsPlusNormal0"/>
              <w:outlineLvl w:val="2"/>
            </w:pPr>
            <w:r>
              <w:t>2.2. Лабораторные методы исследования</w:t>
            </w:r>
          </w:p>
        </w:tc>
      </w:tr>
      <w:tr w:rsidR="00960166">
        <w:tc>
          <w:tcPr>
            <w:tcW w:w="1871" w:type="dxa"/>
          </w:tcPr>
          <w:p w:rsidR="00960166" w:rsidRDefault="00A03895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960166" w:rsidRDefault="00A03895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B03.016</w:t>
              </w:r>
              <w:r>
                <w:rPr>
                  <w:color w:val="0000FF"/>
                </w:rPr>
                <w:t>.003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0,76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Анализ крови биохимический общетерапевтический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0,76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Общий (клинический) анализ мочи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0,76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</w:tr>
    </w:tbl>
    <w:p w:rsidR="00960166" w:rsidRDefault="0096016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252"/>
        <w:gridCol w:w="1474"/>
        <w:gridCol w:w="1474"/>
      </w:tblGrid>
      <w:tr w:rsidR="00960166">
        <w:tc>
          <w:tcPr>
            <w:tcW w:w="9071" w:type="dxa"/>
            <w:gridSpan w:val="4"/>
          </w:tcPr>
          <w:p w:rsidR="00960166" w:rsidRDefault="00A03895">
            <w:pPr>
              <w:pStyle w:val="ConsPlusNormal0"/>
              <w:jc w:val="both"/>
              <w:outlineLvl w:val="2"/>
            </w:pPr>
            <w:r>
              <w:t>2.3. Немедикаментозные методы профилактики, лечения и медицинской реабилитации</w:t>
            </w:r>
          </w:p>
        </w:tc>
      </w:tr>
      <w:tr w:rsidR="00960166">
        <w:tc>
          <w:tcPr>
            <w:tcW w:w="1871" w:type="dxa"/>
          </w:tcPr>
          <w:p w:rsidR="00960166" w:rsidRDefault="00A03895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960166" w:rsidRDefault="00A03895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A22.01.006.002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0,18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50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A22.01.006.004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Ультрафиолетов</w:t>
            </w:r>
            <w:r>
              <w:t>ое облучение кожи. Фотохимиотерапия с внутренним применением фотосенсибилизаторов (ПУВА)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0,088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50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A22.01.006.007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Ультрафиолетовое</w:t>
            </w:r>
            <w:r>
              <w:t xml:space="preserve"> облучение кожи. Селективная фототерапия (широкополосная ультрафиолетовая терапия)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0,044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50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A22.01.006.008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Ультрафиолетовое облуч</w:t>
            </w:r>
            <w:r>
              <w:t>ение кожи. Локальная узкополосная средневолновая ультрафиолетовая терапия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0,088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50</w:t>
            </w:r>
          </w:p>
        </w:tc>
      </w:tr>
      <w:tr w:rsidR="00960166">
        <w:tc>
          <w:tcPr>
            <w:tcW w:w="1871" w:type="dxa"/>
            <w:vAlign w:val="center"/>
          </w:tcPr>
          <w:p w:rsidR="00960166" w:rsidRDefault="00A03895">
            <w:pPr>
              <w:pStyle w:val="ConsPlusNormal0"/>
            </w:pPr>
            <w:hyperlink r:id="rId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A22.01.006.009</w:t>
              </w:r>
            </w:hyperlink>
          </w:p>
        </w:tc>
        <w:tc>
          <w:tcPr>
            <w:tcW w:w="4252" w:type="dxa"/>
            <w:vAlign w:val="center"/>
          </w:tcPr>
          <w:p w:rsidR="00960166" w:rsidRDefault="00A03895">
            <w:pPr>
              <w:pStyle w:val="ConsPlusNormal0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0,044</w:t>
            </w:r>
          </w:p>
        </w:tc>
        <w:tc>
          <w:tcPr>
            <w:tcW w:w="147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50</w:t>
            </w:r>
          </w:p>
        </w:tc>
      </w:tr>
    </w:tbl>
    <w:p w:rsidR="00960166" w:rsidRDefault="00960166">
      <w:pPr>
        <w:pStyle w:val="ConsPlusNormal0"/>
        <w:jc w:val="both"/>
      </w:pPr>
    </w:p>
    <w:p w:rsidR="00960166" w:rsidRDefault="00A03895">
      <w:pPr>
        <w:pStyle w:val="ConsPlusTitle0"/>
        <w:jc w:val="both"/>
        <w:outlineLvl w:val="1"/>
      </w:pPr>
      <w:r>
        <w:t xml:space="preserve">3. </w:t>
      </w:r>
      <w: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60166" w:rsidRDefault="00960166">
      <w:pPr>
        <w:pStyle w:val="ConsPlusNormal0"/>
        <w:jc w:val="both"/>
      </w:pPr>
    </w:p>
    <w:p w:rsidR="00960166" w:rsidRDefault="00960166">
      <w:pPr>
        <w:pStyle w:val="ConsPlusNormal0"/>
        <w:sectPr w:rsidR="00960166">
          <w:headerReference w:type="default" r:id="rId48"/>
          <w:footerReference w:type="default" r:id="rId49"/>
          <w:headerReference w:type="first" r:id="rId50"/>
          <w:footerReference w:type="first" r:id="rId5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288"/>
        <w:gridCol w:w="2211"/>
        <w:gridCol w:w="1814"/>
        <w:gridCol w:w="1247"/>
        <w:gridCol w:w="1132"/>
        <w:gridCol w:w="1133"/>
      </w:tblGrid>
      <w:tr w:rsidR="00960166">
        <w:tc>
          <w:tcPr>
            <w:tcW w:w="1077" w:type="dxa"/>
          </w:tcPr>
          <w:p w:rsidR="00960166" w:rsidRDefault="00A03895">
            <w:pPr>
              <w:pStyle w:val="ConsPlusNormal0"/>
              <w:jc w:val="center"/>
            </w:pPr>
            <w:r>
              <w:lastRenderedPageBreak/>
              <w:t>Код</w:t>
            </w:r>
          </w:p>
        </w:tc>
        <w:tc>
          <w:tcPr>
            <w:tcW w:w="3288" w:type="dxa"/>
          </w:tcPr>
          <w:p w:rsidR="00960166" w:rsidRDefault="00A03895">
            <w:pPr>
              <w:pStyle w:val="ConsPlusNormal0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211" w:type="dxa"/>
          </w:tcPr>
          <w:p w:rsidR="00960166" w:rsidRDefault="00A03895">
            <w:pPr>
              <w:pStyle w:val="ConsPlusNormal0"/>
              <w:jc w:val="center"/>
            </w:pPr>
            <w:r>
              <w:t xml:space="preserve">Наименование лекарственного препарата </w:t>
            </w:r>
            <w:hyperlink w:anchor="P752" w:tooltip="&lt;3&gt; Международное непатентованное, или группировочное, или химическое, а в случаях их отсутствия - торговое наименование лекарственного препарата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1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247" w:type="dxa"/>
          </w:tcPr>
          <w:p w:rsidR="00960166" w:rsidRDefault="00A03895">
            <w:pPr>
              <w:pStyle w:val="ConsPlusNormal0"/>
              <w:jc w:val="center"/>
            </w:pPr>
            <w:r>
              <w:t>Единицы измерения</w:t>
            </w:r>
          </w:p>
        </w:tc>
        <w:tc>
          <w:tcPr>
            <w:tcW w:w="1132" w:type="dxa"/>
          </w:tcPr>
          <w:p w:rsidR="00960166" w:rsidRDefault="00A03895">
            <w:pPr>
              <w:pStyle w:val="ConsPlusNormal0"/>
              <w:jc w:val="center"/>
            </w:pPr>
            <w:r>
              <w:t xml:space="preserve">ССД </w:t>
            </w:r>
            <w:hyperlink w:anchor="P753" w:tooltip="&lt;4&gt; Средняя суточная доза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3" w:type="dxa"/>
          </w:tcPr>
          <w:p w:rsidR="00960166" w:rsidRDefault="00A03895">
            <w:pPr>
              <w:pStyle w:val="ConsPlusNormal0"/>
              <w:jc w:val="center"/>
            </w:pPr>
            <w:r>
              <w:t xml:space="preserve">СКД </w:t>
            </w:r>
            <w:hyperlink w:anchor="P754" w:tooltip="&lt;5&gt; Средняя курсовая доза.">
              <w:r>
                <w:rPr>
                  <w:color w:val="0000FF"/>
                </w:rPr>
                <w:t>&lt;5&gt;</w:t>
              </w:r>
            </w:hyperlink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D02AX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Другие дерматопротекторы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Витамин E + Колекальциферол + Ретинол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2 920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D06AX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Другие антибактериальные препараты для местного назначения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Бацитрацин + Неомицин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96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Фузидовая кислота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96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D06BA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Сульфаниламиды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Сульфатиазол серебра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96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D07AA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Глюкокортикоиды с низкой активностью (группа I)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420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D07AB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Глюкокортикоиды с умеренной активностью (группа II)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Алклометазон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0,08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420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Гидрокортизон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0,32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560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Триамцинолон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420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lastRenderedPageBreak/>
              <w:t>D07AC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Глюкокортикоиды с высокой активностью (группа III)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Бетаметазон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0,24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560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Метилпреднизолона ацепонат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0,08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420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Метилпреднизолона ацепонат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0,24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560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Мометазон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0,08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420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Флутиказон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420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D07AD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Глюкокортикоиды с очень высокой активностью (группа IV)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Клобетазол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420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D07CA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Кортикостероиды слабоактивные в комбинации с антибиотиками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Гидрокортизон + Окситетрациклин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0,02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192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Гидрокортизон + Окситетрациклин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0,02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мл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192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Гидрокортизон + Фузидовая кислота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384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D07CB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Кортикостероиды умеренно активные в комбинации с антибиотиками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Тетрациклин + Триамцинолон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мл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276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lastRenderedPageBreak/>
              <w:t>D07CC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Кортикостероиды высокоактивные в комбинации с антибиотиками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Бетаметазон + Фузидовая кислота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192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D07XC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Кортикостероиды с высокой активностью в комбинации с другими препаратами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Бетаметазон + Гентамицин + Клотримазол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0,12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384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D08AD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Борная кислота и ее препараты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Борная кислота + Резорцин + Фенол + Фуксин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0,18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мл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0,7143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12,8574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D08AX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Другие антисептики и дезинфицирующие средства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Нафталанская нефть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16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D10AF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Противомикробные препараты для лечения угревой сыпи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Эритромицин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0,0075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96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D11AH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Дупилумаб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0,033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600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600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Дупилумаб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7 800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Пимекролимус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0,21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624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Такролимус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0,49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624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H02AB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Глюкокортикоиды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Метилпреднизолон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88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Метилпреднизолон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44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Метилпреднизолон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14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Метилпреднизолон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132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Метилпреднизолон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220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55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110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165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330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Преднизолон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мкг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2 500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17 500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J01CR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Комбинации пенициллинов, включая комбинации с ингибиторами беталактамаз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Амоксициллин + [Клавулановая кислота]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1 500 + 375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33 000 + 8 250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Амоксициллин + [Клавулановая кислота]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1 750 + 250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38 500 + 5 500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J01DC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Цефалоспорины 2-го поколения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Цефуроксим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0,01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5 500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J01DD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Цефалоспорины 3-го поколения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Цефтриаксон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22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L04AD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Ингибиторы кальциневрина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Циклоспорин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245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89 425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R06AA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Эфиры алкиламинов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Клемастин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148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Клемастин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106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R06AC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Замещенные этилендиамины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Хлоропирамин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5 625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Хлоропирамин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0,045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1 480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R06AE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Производные пиперазина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Левоцетиризин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0,12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375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A03895">
            <w:pPr>
              <w:pStyle w:val="ConsPlusNormal0"/>
            </w:pPr>
            <w:r>
              <w:t>R06AX</w:t>
            </w:r>
          </w:p>
        </w:tc>
        <w:tc>
          <w:tcPr>
            <w:tcW w:w="3288" w:type="dxa"/>
            <w:vAlign w:val="center"/>
          </w:tcPr>
          <w:p w:rsidR="00960166" w:rsidRDefault="00A03895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2211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2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960166" w:rsidRDefault="00960166">
            <w:pPr>
              <w:pStyle w:val="ConsPlusNormal0"/>
            </w:pP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Лоратадин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0,12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750</w:t>
            </w:r>
          </w:p>
        </w:tc>
      </w:tr>
      <w:tr w:rsidR="00960166">
        <w:tc>
          <w:tcPr>
            <w:tcW w:w="1077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3288" w:type="dxa"/>
            <w:vAlign w:val="center"/>
          </w:tcPr>
          <w:p w:rsidR="00960166" w:rsidRDefault="00960166">
            <w:pPr>
              <w:pStyle w:val="ConsPlusNormal0"/>
            </w:pPr>
          </w:p>
        </w:tc>
        <w:tc>
          <w:tcPr>
            <w:tcW w:w="2211" w:type="dxa"/>
            <w:vAlign w:val="center"/>
          </w:tcPr>
          <w:p w:rsidR="00960166" w:rsidRDefault="00A03895">
            <w:pPr>
              <w:pStyle w:val="ConsPlusNormal0"/>
            </w:pPr>
            <w:r>
              <w:t>Хифенадин</w:t>
            </w:r>
          </w:p>
        </w:tc>
        <w:tc>
          <w:tcPr>
            <w:tcW w:w="1814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0,06</w:t>
            </w:r>
          </w:p>
        </w:tc>
        <w:tc>
          <w:tcPr>
            <w:tcW w:w="1247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1132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133" w:type="dxa"/>
            <w:vAlign w:val="center"/>
          </w:tcPr>
          <w:p w:rsidR="00960166" w:rsidRDefault="00A03895">
            <w:pPr>
              <w:pStyle w:val="ConsPlusNormal0"/>
              <w:jc w:val="center"/>
            </w:pPr>
            <w:r>
              <w:t>5 625</w:t>
            </w:r>
          </w:p>
        </w:tc>
      </w:tr>
    </w:tbl>
    <w:p w:rsidR="00960166" w:rsidRDefault="00960166">
      <w:pPr>
        <w:pStyle w:val="ConsPlusNormal0"/>
        <w:sectPr w:rsidR="00960166">
          <w:headerReference w:type="default" r:id="rId52"/>
          <w:footerReference w:type="default" r:id="rId53"/>
          <w:headerReference w:type="first" r:id="rId54"/>
          <w:footerReference w:type="first" r:id="rId5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60166" w:rsidRDefault="00960166">
      <w:pPr>
        <w:pStyle w:val="ConsPlusNormal0"/>
        <w:jc w:val="both"/>
      </w:pPr>
    </w:p>
    <w:p w:rsidR="00960166" w:rsidRDefault="00A03895">
      <w:pPr>
        <w:pStyle w:val="ConsPlusTitle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960166" w:rsidRDefault="0096016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1814"/>
        <w:gridCol w:w="1531"/>
      </w:tblGrid>
      <w:tr w:rsidR="00960166">
        <w:tc>
          <w:tcPr>
            <w:tcW w:w="9071" w:type="dxa"/>
            <w:gridSpan w:val="3"/>
          </w:tcPr>
          <w:p w:rsidR="00960166" w:rsidRDefault="00A03895">
            <w:pPr>
              <w:pStyle w:val="ConsPlusNormal0"/>
              <w:outlineLvl w:val="2"/>
            </w:pPr>
            <w:r>
              <w:t>4.1. Лечебное питание</w:t>
            </w:r>
          </w:p>
        </w:tc>
      </w:tr>
      <w:tr w:rsidR="00960166">
        <w:tc>
          <w:tcPr>
            <w:tcW w:w="5726" w:type="dxa"/>
          </w:tcPr>
          <w:p w:rsidR="00960166" w:rsidRDefault="00A03895">
            <w:pPr>
              <w:pStyle w:val="ConsPlusNormal0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814" w:type="dxa"/>
          </w:tcPr>
          <w:p w:rsidR="00960166" w:rsidRDefault="00A03895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960166" w:rsidRDefault="00A03895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960166">
        <w:tc>
          <w:tcPr>
            <w:tcW w:w="5726" w:type="dxa"/>
          </w:tcPr>
          <w:p w:rsidR="00960166" w:rsidRDefault="00A03895">
            <w:pPr>
              <w:pStyle w:val="ConsPlusNormal0"/>
            </w:pPr>
            <w:r>
              <w:t>Основной вариант стандартной диеты</w:t>
            </w:r>
          </w:p>
        </w:tc>
        <w:tc>
          <w:tcPr>
            <w:tcW w:w="1814" w:type="dxa"/>
          </w:tcPr>
          <w:p w:rsidR="00960166" w:rsidRDefault="00A03895">
            <w:pPr>
              <w:pStyle w:val="ConsPlusNormal0"/>
              <w:jc w:val="center"/>
            </w:pPr>
            <w:r>
              <w:t>0,2</w:t>
            </w:r>
          </w:p>
        </w:tc>
        <w:tc>
          <w:tcPr>
            <w:tcW w:w="1531" w:type="dxa"/>
          </w:tcPr>
          <w:p w:rsidR="00960166" w:rsidRDefault="00A03895">
            <w:pPr>
              <w:pStyle w:val="ConsPlusNormal0"/>
              <w:jc w:val="center"/>
            </w:pPr>
            <w:r>
              <w:t>22</w:t>
            </w:r>
          </w:p>
        </w:tc>
      </w:tr>
    </w:tbl>
    <w:p w:rsidR="00960166" w:rsidRDefault="00960166">
      <w:pPr>
        <w:pStyle w:val="ConsPlusNormal0"/>
        <w:jc w:val="both"/>
      </w:pPr>
    </w:p>
    <w:p w:rsidR="00960166" w:rsidRDefault="00A03895">
      <w:pPr>
        <w:pStyle w:val="ConsPlusNormal0"/>
        <w:ind w:firstLine="540"/>
        <w:jc w:val="both"/>
      </w:pPr>
      <w:r>
        <w:t>--------------------------------</w:t>
      </w:r>
    </w:p>
    <w:p w:rsidR="00960166" w:rsidRDefault="00A03895">
      <w:pPr>
        <w:pStyle w:val="ConsPlusNormal0"/>
        <w:spacing w:before="200"/>
        <w:ind w:firstLine="540"/>
        <w:jc w:val="both"/>
      </w:pPr>
      <w:bookmarkStart w:id="1" w:name="P750"/>
      <w:bookmarkEnd w:id="1"/>
      <w:r>
        <w:t xml:space="preserve">&lt;1&gt; Международная статистическая </w:t>
      </w:r>
      <w:hyperlink r:id="rId56" w:tooltip="Ссылка на КонсультантПлюс">
        <w:r>
          <w:rPr>
            <w:color w:val="0000FF"/>
          </w:rPr>
          <w:t>классификация</w:t>
        </w:r>
      </w:hyperlink>
      <w:r>
        <w:t xml:space="preserve"> б</w:t>
      </w:r>
      <w:r>
        <w:t>олезней и проблем, связанных со здоровьем, X пересмотра.</w:t>
      </w:r>
    </w:p>
    <w:p w:rsidR="00960166" w:rsidRDefault="00A03895">
      <w:pPr>
        <w:pStyle w:val="ConsPlusNormal0"/>
        <w:spacing w:before="200"/>
        <w:ind w:firstLine="540"/>
        <w:jc w:val="both"/>
      </w:pPr>
      <w:bookmarkStart w:id="2" w:name="P751"/>
      <w:bookmarkEnd w:id="2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</w:t>
      </w:r>
      <w:r>
        <w:t>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60166" w:rsidRDefault="00A03895">
      <w:pPr>
        <w:pStyle w:val="ConsPlusNormal0"/>
        <w:spacing w:before="200"/>
        <w:ind w:firstLine="540"/>
        <w:jc w:val="both"/>
      </w:pPr>
      <w:bookmarkStart w:id="3" w:name="P752"/>
      <w:bookmarkEnd w:id="3"/>
      <w:r>
        <w:t>&lt;3&gt; М</w:t>
      </w:r>
      <w:r>
        <w:t>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:rsidR="00960166" w:rsidRDefault="00A03895">
      <w:pPr>
        <w:pStyle w:val="ConsPlusNormal0"/>
        <w:spacing w:before="200"/>
        <w:ind w:firstLine="540"/>
        <w:jc w:val="both"/>
      </w:pPr>
      <w:bookmarkStart w:id="4" w:name="P753"/>
      <w:bookmarkEnd w:id="4"/>
      <w:r>
        <w:t>&lt;4&gt; Средняя суточная доза.</w:t>
      </w:r>
    </w:p>
    <w:p w:rsidR="00960166" w:rsidRDefault="00A03895">
      <w:pPr>
        <w:pStyle w:val="ConsPlusNormal0"/>
        <w:spacing w:before="200"/>
        <w:ind w:firstLine="540"/>
        <w:jc w:val="both"/>
      </w:pPr>
      <w:bookmarkStart w:id="5" w:name="P754"/>
      <w:bookmarkEnd w:id="5"/>
      <w:r>
        <w:t>&lt;5&gt; Средняя курсовая доза.</w:t>
      </w:r>
    </w:p>
    <w:p w:rsidR="00960166" w:rsidRDefault="00960166">
      <w:pPr>
        <w:pStyle w:val="ConsPlusNormal0"/>
        <w:jc w:val="both"/>
      </w:pPr>
    </w:p>
    <w:p w:rsidR="00960166" w:rsidRDefault="00960166">
      <w:pPr>
        <w:pStyle w:val="ConsPlusNormal0"/>
        <w:jc w:val="both"/>
      </w:pPr>
    </w:p>
    <w:p w:rsidR="00960166" w:rsidRDefault="0096016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6" w:name="_GoBack"/>
      <w:bookmarkEnd w:id="6"/>
    </w:p>
    <w:sectPr w:rsidR="00960166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5" w:rsidRDefault="00A03895">
      <w:r>
        <w:separator/>
      </w:r>
    </w:p>
  </w:endnote>
  <w:endnote w:type="continuationSeparator" w:id="0">
    <w:p w:rsidR="00A03895" w:rsidRDefault="00A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6016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60166" w:rsidRDefault="00960166">
          <w:pPr>
            <w:pStyle w:val="ConsPlusNormal0"/>
          </w:pPr>
        </w:p>
      </w:tc>
      <w:tc>
        <w:tcPr>
          <w:tcW w:w="1700" w:type="pct"/>
          <w:vAlign w:val="center"/>
        </w:tcPr>
        <w:p w:rsidR="00960166" w:rsidRDefault="0096016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60166" w:rsidRDefault="00A038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12B8B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12B8B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960166" w:rsidRDefault="00A0389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6016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60166" w:rsidRDefault="00960166">
          <w:pPr>
            <w:pStyle w:val="ConsPlusNormal0"/>
          </w:pPr>
        </w:p>
      </w:tc>
      <w:tc>
        <w:tcPr>
          <w:tcW w:w="1700" w:type="pct"/>
          <w:vAlign w:val="center"/>
        </w:tcPr>
        <w:p w:rsidR="00960166" w:rsidRDefault="0096016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60166" w:rsidRDefault="00A038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12B8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12B8B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960166" w:rsidRDefault="00A03895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6016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60166" w:rsidRDefault="00960166">
          <w:pPr>
            <w:pStyle w:val="ConsPlusNormal0"/>
          </w:pPr>
        </w:p>
      </w:tc>
      <w:tc>
        <w:tcPr>
          <w:tcW w:w="1700" w:type="pct"/>
          <w:vAlign w:val="center"/>
        </w:tcPr>
        <w:p w:rsidR="00960166" w:rsidRDefault="0096016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60166" w:rsidRDefault="00A038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12B8B"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12B8B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960166" w:rsidRDefault="00A03895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6016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60166" w:rsidRDefault="00A0389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60166" w:rsidRDefault="00A0389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60166" w:rsidRDefault="00A038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12B8B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12B8B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960166" w:rsidRDefault="00A03895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96016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60166" w:rsidRDefault="00A0389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60166" w:rsidRDefault="00A0389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60166" w:rsidRDefault="00A038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60166" w:rsidRDefault="00A03895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6016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60166" w:rsidRDefault="00960166">
          <w:pPr>
            <w:pStyle w:val="ConsPlusNormal0"/>
          </w:pPr>
        </w:p>
      </w:tc>
      <w:tc>
        <w:tcPr>
          <w:tcW w:w="1700" w:type="pct"/>
          <w:vAlign w:val="center"/>
        </w:tcPr>
        <w:p w:rsidR="00960166" w:rsidRDefault="0096016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60166" w:rsidRDefault="00A038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12B8B"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12B8B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960166" w:rsidRDefault="00A0389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5" w:rsidRDefault="00A03895">
      <w:r>
        <w:separator/>
      </w:r>
    </w:p>
  </w:footnote>
  <w:footnote w:type="continuationSeparator" w:id="0">
    <w:p w:rsidR="00A03895" w:rsidRDefault="00A0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6016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60166" w:rsidRDefault="00A038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</w:t>
          </w:r>
          <w:r>
            <w:rPr>
              <w:rFonts w:ascii="Tahoma" w:hAnsi="Tahoma" w:cs="Tahoma"/>
              <w:sz w:val="16"/>
              <w:szCs w:val="16"/>
            </w:rPr>
            <w:t xml:space="preserve"> от 26.04.2022 N 289н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стандарта медицинской помощи взрослым при атопическом дерма...</w:t>
          </w:r>
        </w:p>
      </w:tc>
      <w:tc>
        <w:tcPr>
          <w:tcW w:w="2300" w:type="pct"/>
          <w:vAlign w:val="center"/>
        </w:tcPr>
        <w:p w:rsidR="00960166" w:rsidRDefault="0096016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0166" w:rsidRDefault="0096016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6016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60166" w:rsidRDefault="00A038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26.04.2022 N 289н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стандарта медицинской помощи взрослым при атопическом дерма...</w:t>
          </w:r>
        </w:p>
      </w:tc>
      <w:tc>
        <w:tcPr>
          <w:tcW w:w="2300" w:type="pct"/>
          <w:vAlign w:val="center"/>
        </w:tcPr>
        <w:p w:rsidR="00960166" w:rsidRDefault="0096016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0166" w:rsidRDefault="00960166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96016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60166" w:rsidRDefault="00A038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26.04.2022 N 289н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стандарта медицинской помощи взрослым при атопическом дерма...</w:t>
          </w:r>
        </w:p>
      </w:tc>
      <w:tc>
        <w:tcPr>
          <w:tcW w:w="2300" w:type="pct"/>
          <w:vAlign w:val="center"/>
        </w:tcPr>
        <w:p w:rsidR="00960166" w:rsidRDefault="0096016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0166" w:rsidRDefault="00960166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96016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60166" w:rsidRDefault="00A038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26.04.2022 N 289н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стандарта медицинской помощи </w:t>
          </w:r>
          <w:r>
            <w:rPr>
              <w:rFonts w:ascii="Tahoma" w:hAnsi="Tahoma" w:cs="Tahoma"/>
              <w:sz w:val="16"/>
              <w:szCs w:val="16"/>
            </w:rPr>
            <w:t>взрослым при атопическом дерма...</w:t>
          </w:r>
        </w:p>
      </w:tc>
      <w:tc>
        <w:tcPr>
          <w:tcW w:w="2300" w:type="pct"/>
          <w:vAlign w:val="center"/>
        </w:tcPr>
        <w:p w:rsidR="00960166" w:rsidRDefault="00A0389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0166" w:rsidRDefault="00960166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96016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60166" w:rsidRDefault="00A038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26.04.2022 N 289н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</w:t>
          </w:r>
          <w:r>
            <w:rPr>
              <w:rFonts w:ascii="Tahoma" w:hAnsi="Tahoma" w:cs="Tahoma"/>
              <w:sz w:val="16"/>
              <w:szCs w:val="16"/>
            </w:rPr>
            <w:t>нии стандарта медицинской помощи взрослым при атопическом дерма...</w:t>
          </w:r>
        </w:p>
      </w:tc>
      <w:tc>
        <w:tcPr>
          <w:tcW w:w="2300" w:type="pct"/>
          <w:vAlign w:val="center"/>
        </w:tcPr>
        <w:p w:rsidR="00960166" w:rsidRDefault="00A0389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0166" w:rsidRDefault="00960166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6016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60166" w:rsidRDefault="00A038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</w:t>
          </w:r>
          <w:r>
            <w:rPr>
              <w:rFonts w:ascii="Tahoma" w:hAnsi="Tahoma" w:cs="Tahoma"/>
              <w:sz w:val="16"/>
              <w:szCs w:val="16"/>
            </w:rPr>
            <w:t xml:space="preserve"> 26.04.2022 N 289н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стандарта медицинской помощи взрослым при атопическом дерма...</w:t>
          </w:r>
        </w:p>
      </w:tc>
      <w:tc>
        <w:tcPr>
          <w:tcW w:w="2300" w:type="pct"/>
          <w:vAlign w:val="center"/>
        </w:tcPr>
        <w:p w:rsidR="00960166" w:rsidRDefault="0096016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60166" w:rsidRDefault="0096016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0166" w:rsidRDefault="0096016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166"/>
    <w:rsid w:val="00912B8B"/>
    <w:rsid w:val="00960166"/>
    <w:rsid w:val="00A0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0A88D-1447-4762-A292-E1D59263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12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B8B"/>
  </w:style>
  <w:style w:type="paragraph" w:styleId="a5">
    <w:name w:val="footer"/>
    <w:basedOn w:val="a"/>
    <w:link w:val="a6"/>
    <w:uiPriority w:val="99"/>
    <w:unhideWhenUsed/>
    <w:rsid w:val="00912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C3E262118F82F2790171DA27FEF314B2DE2B48F5DC24830E26EA55ACD55D5515733F50F8BAC4D8907D4F3068y7R3K" TargetMode="External"/><Relationship Id="rId18" Type="http://schemas.openxmlformats.org/officeDocument/2006/relationships/hyperlink" Target="consultantplus://offline/ref=2DC3E262118F82F2790166D825FEF314B6DF2945F0DB24830E26EA55ACD55D550773675CF9BDDBD1976819612E25C250E5E2A164262A8FD3y9R3K" TargetMode="External"/><Relationship Id="rId26" Type="http://schemas.openxmlformats.org/officeDocument/2006/relationships/hyperlink" Target="consultantplus://offline/ref=2DC3E262118F82F2790166D825FEF314B6DF2945F0DB24830E26EA55ACD55D550773675CF8B0D9DE9A6819612E25C250E5E2A164262A8FD3y9R3K" TargetMode="External"/><Relationship Id="rId39" Type="http://schemas.openxmlformats.org/officeDocument/2006/relationships/hyperlink" Target="consultantplus://offline/ref=2DC3E262118F82F2790166D825FEF314B6DF2945F0DB24830E26EA55ACD55D550773675CF8B0DDD1946819612E25C250E5E2A164262A8FD3y9R3K" TargetMode="External"/><Relationship Id="rId21" Type="http://schemas.openxmlformats.org/officeDocument/2006/relationships/hyperlink" Target="consultantplus://offline/ref=2DC3E262118F82F2790166D825FEF314B6DF2945F0DB24830E26EA55ACD55D550773675CFBB9DADE9A6819612E25C250E5E2A164262A8FD3y9R3K" TargetMode="External"/><Relationship Id="rId34" Type="http://schemas.openxmlformats.org/officeDocument/2006/relationships/hyperlink" Target="consultantplus://offline/ref=2DC3E262118F82F2790166D825FEF314B6DF2945F0DB24830E26EA55ACD55D550773675CF8B0DDD8946819612E25C250E5E2A164262A8FD3y9R3K" TargetMode="External"/><Relationship Id="rId42" Type="http://schemas.openxmlformats.org/officeDocument/2006/relationships/hyperlink" Target="consultantplus://offline/ref=2DC3E262118F82F2790166D825FEF314B6DF2945F0DB24830E26EA55ACD55D550773675CFBB9DADF906819612E25C250E5E2A164262A8FD3y9R3K" TargetMode="External"/><Relationship Id="rId47" Type="http://schemas.openxmlformats.org/officeDocument/2006/relationships/hyperlink" Target="consultantplus://offline/ref=2DC3E262118F82F2790166D825FEF314B6DF2945F0DB24830E26EA55ACD55D550773675CF8BDDEDC976819612E25C250E5E2A164262A8FD3y9R3K" TargetMode="External"/><Relationship Id="rId50" Type="http://schemas.openxmlformats.org/officeDocument/2006/relationships/header" Target="header2.xml"/><Relationship Id="rId55" Type="http://schemas.openxmlformats.org/officeDocument/2006/relationships/footer" Target="footer4.xml"/><Relationship Id="rId7" Type="http://schemas.openxmlformats.org/officeDocument/2006/relationships/hyperlink" Target="consultantplus://offline/ref=2DC3E262118F82F2790166D825FEF314B1DA2F48F7DE24830E26EA55ACD55D550773675CF9B9DADB946819612E25C250E5E2A164262A8FD3y9R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3E262118F82F2790166D825FEF314B6DF2945F0DB24830E26EA55ACD55D550773675CF9BADBD0926819612E25C250E5E2A164262A8FD3y9R3K" TargetMode="External"/><Relationship Id="rId20" Type="http://schemas.openxmlformats.org/officeDocument/2006/relationships/hyperlink" Target="consultantplus://offline/ref=2DC3E262118F82F2790166D825FEF314B6DF2945F0DB24830E26EA55ACD55D550773675CFBB9DADE946819612E25C250E5E2A164262A8FD3y9R3K" TargetMode="External"/><Relationship Id="rId29" Type="http://schemas.openxmlformats.org/officeDocument/2006/relationships/hyperlink" Target="consultantplus://offline/ref=2DC3E262118F82F2790166D825FEF314B6DF2945F0DB24830E26EA55ACD55D550773675CF8B0DEDA9A6819612E25C250E5E2A164262A8FD3y9R3K" TargetMode="External"/><Relationship Id="rId41" Type="http://schemas.openxmlformats.org/officeDocument/2006/relationships/hyperlink" Target="consultantplus://offline/ref=2DC3E262118F82F2790166D825FEF314B6DF2945F0DB24830E26EA55ACD55D550773675CFBB9DADE9A6819612E25C250E5E2A164262A8FD3y9R3K" TargetMode="External"/><Relationship Id="rId54" Type="http://schemas.openxmlformats.org/officeDocument/2006/relationships/header" Target="header4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3E262118F82F2790166D825FEF314B1DA2A42F3DA24830E26EA55ACD55D550773675EFCBFD18CC327183D6B73D151E4E2A3663Ay2RBK" TargetMode="External"/><Relationship Id="rId11" Type="http://schemas.openxmlformats.org/officeDocument/2006/relationships/hyperlink" Target="consultantplus://offline/ref=2DC3E262118F82F2790166D825FEF314B4DC2C44F2DB24830E26EA55ACD55D5515733F50F8BAC4D8907D4F3068y7R3K" TargetMode="External"/><Relationship Id="rId24" Type="http://schemas.openxmlformats.org/officeDocument/2006/relationships/hyperlink" Target="consultantplus://offline/ref=2DC3E262118F82F2790166D825FEF314B6DF2945F0DB24830E26EA55ACD55D550773675CF8B0D9DD926819612E25C250E5E2A164262A8FD3y9R3K" TargetMode="External"/><Relationship Id="rId32" Type="http://schemas.openxmlformats.org/officeDocument/2006/relationships/hyperlink" Target="consultantplus://offline/ref=2DC3E262118F82F2790166D825FEF314B6DF2945F0DB24830E26EA55ACD55D550773675CF8B0DFDC926819612E25C250E5E2A164262A8FD3y9R3K" TargetMode="External"/><Relationship Id="rId37" Type="http://schemas.openxmlformats.org/officeDocument/2006/relationships/hyperlink" Target="consultantplus://offline/ref=2DC3E262118F82F2790166D825FEF314B6DF2945F0DB24830E26EA55ACD55D550773675CF8B0DFDA946819612E25C250E5E2A164262A8FD3y9R3K" TargetMode="External"/><Relationship Id="rId40" Type="http://schemas.openxmlformats.org/officeDocument/2006/relationships/hyperlink" Target="consultantplus://offline/ref=2DC3E262118F82F2790166D825FEF314B6DF2945F0DB24830E26EA55ACD55D550773675CFBB9DADE946819612E25C250E5E2A164262A8FD3y9R3K" TargetMode="External"/><Relationship Id="rId45" Type="http://schemas.openxmlformats.org/officeDocument/2006/relationships/hyperlink" Target="consultantplus://offline/ref=2DC3E262118F82F2790166D825FEF314B6DF2945F0DB24830E26EA55ACD55D550773675CF8BDDEDC936819612E25C250E5E2A164262A8FD3y9R3K" TargetMode="External"/><Relationship Id="rId53" Type="http://schemas.openxmlformats.org/officeDocument/2006/relationships/footer" Target="footer3.xml"/><Relationship Id="rId58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C3E262118F82F2790166D825FEF314B6DF2945F0DB24830E26EA55ACD55D550773675CF8B0DEDA9A6819612E25C250E5E2A164262A8FD3y9R3K" TargetMode="External"/><Relationship Id="rId23" Type="http://schemas.openxmlformats.org/officeDocument/2006/relationships/hyperlink" Target="consultantplus://offline/ref=2DC3E262118F82F2790166D825FEF314B6DF2945F0DB24830E26EA55ACD55D550773675CF9BDD3D1976819612E25C250E5E2A164262A8FD3y9R3K" TargetMode="External"/><Relationship Id="rId28" Type="http://schemas.openxmlformats.org/officeDocument/2006/relationships/hyperlink" Target="consultantplus://offline/ref=2DC3E262118F82F2790166D825FEF314B6DF2945F0DB24830E26EA55ACD55D550773675CF8B0D9DF906819612E25C250E5E2A164262A8FD3y9R3K" TargetMode="External"/><Relationship Id="rId36" Type="http://schemas.openxmlformats.org/officeDocument/2006/relationships/hyperlink" Target="consultantplus://offline/ref=2DC3E262118F82F2790166D825FEF314B6DF2945F0DB24830E26EA55ACD55D550773675CF8B0DDD89A6819612E25C250E5E2A164262A8FD3y9R3K" TargetMode="External"/><Relationship Id="rId49" Type="http://schemas.openxmlformats.org/officeDocument/2006/relationships/footer" Target="footer1.xml"/><Relationship Id="rId57" Type="http://schemas.openxmlformats.org/officeDocument/2006/relationships/header" Target="header5.xm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DC3E262118F82F2790166D825FEF314B4DC2D48F7DC24830E26EA55ACD55D5515733F50F8BAC4D8907D4F3068y7R3K" TargetMode="External"/><Relationship Id="rId19" Type="http://schemas.openxmlformats.org/officeDocument/2006/relationships/hyperlink" Target="consultantplus://offline/ref=2DC3E262118F82F2790166D825FEF314B6DF2945F0DB24830E26EA55ACD55D550773675CF9BFDAD89B6819612E25C250E5E2A164262A8FD3y9R3K" TargetMode="External"/><Relationship Id="rId31" Type="http://schemas.openxmlformats.org/officeDocument/2006/relationships/hyperlink" Target="consultantplus://offline/ref=2DC3E262118F82F2790166D825FEF314B6DF2945F0DB24830E26EA55ACD55D550773675CF8B0DEDB946819612E25C250E5E2A164262A8FD3y9R3K" TargetMode="External"/><Relationship Id="rId44" Type="http://schemas.openxmlformats.org/officeDocument/2006/relationships/hyperlink" Target="consultantplus://offline/ref=2DC3E262118F82F2790166D825FEF314B6DF2945F0DB24830E26EA55ACD55D550773675CF8BDDEDB976819612E25C250E5E2A164262A8FD3y9R3K" TargetMode="External"/><Relationship Id="rId52" Type="http://schemas.openxmlformats.org/officeDocument/2006/relationships/header" Target="header3.xml"/><Relationship Id="rId60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3E262118F82F2790166D825FEF314B4DC2D42F4DC24830E26EA55ACD55D5515733F50F8BAC4D8907D4F3068y7R3K" TargetMode="External"/><Relationship Id="rId14" Type="http://schemas.openxmlformats.org/officeDocument/2006/relationships/hyperlink" Target="consultantplus://offline/ref=2DC3E262118F82F2790166D825FEF314B6DF2945F0DB24830E26EA55ACD55D550773675CF8B0D9DE9A6819612E25C250E5E2A164262A8FD3y9R3K" TargetMode="External"/><Relationship Id="rId22" Type="http://schemas.openxmlformats.org/officeDocument/2006/relationships/hyperlink" Target="consultantplus://offline/ref=2DC3E262118F82F2790166D825FEF314B6DF2945F0DB24830E26EA55ACD55D550773675CFBB9DADF906819612E25C250E5E2A164262A8FD3y9R3K" TargetMode="External"/><Relationship Id="rId27" Type="http://schemas.openxmlformats.org/officeDocument/2006/relationships/hyperlink" Target="consultantplus://offline/ref=2DC3E262118F82F2790166D825FEF314B6DF2945F0DB24830E26EA55ACD55D550773675CF8B0D9DF926819612E25C250E5E2A164262A8FD3y9R3K" TargetMode="External"/><Relationship Id="rId30" Type="http://schemas.openxmlformats.org/officeDocument/2006/relationships/hyperlink" Target="consultantplus://offline/ref=2DC3E262118F82F2790166D825FEF314B6DF2945F0DB24830E26EA55ACD55D550773675CF8B0DEDB926819612E25C250E5E2A164262A8FD3y9R3K" TargetMode="External"/><Relationship Id="rId35" Type="http://schemas.openxmlformats.org/officeDocument/2006/relationships/hyperlink" Target="consultantplus://offline/ref=2DC3E262118F82F2790166D825FEF314B6DF2945F0DB24830E26EA55ACD55D550773675CF8B0DFDA966819612E25C250E5E2A164262A8FD3y9R3K" TargetMode="External"/><Relationship Id="rId43" Type="http://schemas.openxmlformats.org/officeDocument/2006/relationships/hyperlink" Target="consultantplus://offline/ref=2DC3E262118F82F2790166D825FEF314B6DF2945F0DB24830E26EA55ACD55D550773675CF8BDDEDB936819612E25C250E5E2A164262A8FD3y9R3K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2DC3E262118F82F2790171DA27FEF314B2DE2B48F5DC24830E26EA55ACD55D5515733F50F8BAC4D8907D4F3068y7R3K" TargetMode="External"/><Relationship Id="rId8" Type="http://schemas.openxmlformats.org/officeDocument/2006/relationships/hyperlink" Target="consultantplus://offline/ref=2DC3E262118F82F2790166D825FEF314B4DC2948F4D824830E26EA55ACD55D5515733F50F8BAC4D8907D4F3068y7R3K" TargetMode="External"/><Relationship Id="rId51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C3E262118F82F2790166D825FEF314B4DC2D45F0D824830E26EA55ACD55D5515733F50F8BAC4D8907D4F3068y7R3K" TargetMode="External"/><Relationship Id="rId17" Type="http://schemas.openxmlformats.org/officeDocument/2006/relationships/hyperlink" Target="consultantplus://offline/ref=2DC3E262118F82F2790166D825FEF314B6DF2945F0DB24830E26EA55ACD55D550773675CF9BDDADF936819612E25C250E5E2A164262A8FD3y9R3K" TargetMode="External"/><Relationship Id="rId25" Type="http://schemas.openxmlformats.org/officeDocument/2006/relationships/hyperlink" Target="consultantplus://offline/ref=2DC3E262118F82F2790166D825FEF314B6DF2945F0DB24830E26EA55ACD55D550773675CF8B0D9DD906819612E25C250E5E2A164262A8FD3y9R3K" TargetMode="External"/><Relationship Id="rId33" Type="http://schemas.openxmlformats.org/officeDocument/2006/relationships/hyperlink" Target="consultantplus://offline/ref=2DC3E262118F82F2790166D825FEF314B6DF2945F0DB24830E26EA55ACD55D550773675CF8B0DFDC906819612E25C250E5E2A164262A8FD3y9R3K" TargetMode="External"/><Relationship Id="rId38" Type="http://schemas.openxmlformats.org/officeDocument/2006/relationships/hyperlink" Target="consultantplus://offline/ref=2DC3E262118F82F2790166D825FEF314B6DF2945F0DB24830E26EA55ACD55D550773675CF8B0DDD1966819612E25C250E5E2A164262A8FD3y9R3K" TargetMode="External"/><Relationship Id="rId46" Type="http://schemas.openxmlformats.org/officeDocument/2006/relationships/hyperlink" Target="consultantplus://offline/ref=2DC3E262118F82F2790166D825FEF314B6DF2945F0DB24830E26EA55ACD55D550773675CF8BDDEDC916819612E25C250E5E2A164262A8FD3y9R3K" TargetMode="External"/><Relationship Id="rId59" Type="http://schemas.openxmlformats.org/officeDocument/2006/relationships/header" Target="head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4377</Words>
  <Characters>24952</Characters>
  <Application>Microsoft Office Word</Application>
  <DocSecurity>0</DocSecurity>
  <Lines>207</Lines>
  <Paragraphs>58</Paragraphs>
  <ScaleCrop>false</ScaleCrop>
  <Company>КонсультантПлюс Версия 4022.00.55</Company>
  <LinksUpToDate>false</LinksUpToDate>
  <CharactersWithSpaces>29271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26.04.2022 N 289н
"Об утверждении стандарта медицинской помощи взрослым при атопическом дерматите (диагностика и лечение)"
(Зарегистрировано в Минюсте России 03.06.2022 N 68735)</dc:title>
  <cp:lastModifiedBy>Пользователь Windows</cp:lastModifiedBy>
  <cp:revision>2</cp:revision>
  <dcterms:created xsi:type="dcterms:W3CDTF">2023-02-13T10:17:00Z</dcterms:created>
  <dcterms:modified xsi:type="dcterms:W3CDTF">2023-02-13T10:22:00Z</dcterms:modified>
</cp:coreProperties>
</file>